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87" w:rsidRPr="001C69F3" w:rsidRDefault="008D1D87" w:rsidP="008D1D87">
      <w:pPr>
        <w:pStyle w:val="Header"/>
        <w:jc w:val="center"/>
        <w:rPr>
          <w:rFonts w:eastAsiaTheme="minorEastAsia"/>
          <w:b/>
          <w:sz w:val="32"/>
          <w:szCs w:val="32"/>
          <w:u w:val="single"/>
        </w:rPr>
      </w:pPr>
      <w:r w:rsidRPr="001C69F3">
        <w:rPr>
          <w:rFonts w:eastAsiaTheme="minorEastAsia"/>
          <w:b/>
          <w:sz w:val="32"/>
          <w:szCs w:val="32"/>
          <w:u w:val="single"/>
        </w:rPr>
        <w:t>TOR’s for sale of Marble and Granite  blocks</w:t>
      </w:r>
    </w:p>
    <w:p w:rsidR="008D1D87" w:rsidRPr="00A021AD" w:rsidRDefault="008D1D87" w:rsidP="008D1D87">
      <w:pPr>
        <w:pStyle w:val="ListParagraph"/>
        <w:ind w:left="360"/>
        <w:jc w:val="both"/>
        <w:rPr>
          <w:rFonts w:eastAsiaTheme="minorEastAsia"/>
          <w:sz w:val="24"/>
          <w:szCs w:val="24"/>
        </w:rPr>
      </w:pPr>
    </w:p>
    <w:p w:rsidR="008D1D87" w:rsidRDefault="00D96CEC" w:rsidP="008D1D87">
      <w:pPr>
        <w:pStyle w:val="ListParagraph"/>
        <w:numPr>
          <w:ilvl w:val="0"/>
          <w:numId w:val="1"/>
        </w:numPr>
        <w:jc w:val="both"/>
        <w:rPr>
          <w:rFonts w:eastAsiaTheme="minorEastAsia"/>
          <w:sz w:val="24"/>
          <w:szCs w:val="24"/>
        </w:rPr>
      </w:pPr>
      <w:r>
        <w:rPr>
          <w:rFonts w:eastAsiaTheme="minorEastAsia"/>
          <w:sz w:val="24"/>
          <w:szCs w:val="24"/>
        </w:rPr>
        <w:t>Sale</w:t>
      </w:r>
      <w:r w:rsidR="008D1D87" w:rsidRPr="00A007EC">
        <w:rPr>
          <w:rFonts w:eastAsiaTheme="minorEastAsia"/>
          <w:sz w:val="24"/>
          <w:szCs w:val="24"/>
        </w:rPr>
        <w:t xml:space="preserve"> will be conducted under this advertisement as and when bid received. Bidder may submit their sealed bids before 10:00 am (Monday - Friday) on the below given address. Bids will be opened at 10:30 am </w:t>
      </w:r>
    </w:p>
    <w:p w:rsidR="008D1D87" w:rsidRPr="00A007EC" w:rsidRDefault="008D1D87" w:rsidP="008D1D87">
      <w:pPr>
        <w:pStyle w:val="ListParagraph"/>
        <w:numPr>
          <w:ilvl w:val="0"/>
          <w:numId w:val="1"/>
        </w:numPr>
        <w:jc w:val="both"/>
        <w:rPr>
          <w:rFonts w:eastAsiaTheme="minorEastAsia"/>
          <w:sz w:val="24"/>
          <w:szCs w:val="24"/>
        </w:rPr>
      </w:pPr>
      <w:r w:rsidRPr="00A007EC">
        <w:rPr>
          <w:rFonts w:eastAsiaTheme="minorEastAsia"/>
          <w:sz w:val="24"/>
          <w:szCs w:val="24"/>
        </w:rPr>
        <w:t>Blocks can be inspected at the Quarries and Warehouses from 9 am to 5 pm on any working day before bids opening.</w:t>
      </w:r>
    </w:p>
    <w:p w:rsidR="008D1D87" w:rsidRPr="00A021AD" w:rsidRDefault="008D1D87" w:rsidP="008D1D87">
      <w:pPr>
        <w:pStyle w:val="ListParagraph"/>
        <w:numPr>
          <w:ilvl w:val="0"/>
          <w:numId w:val="1"/>
        </w:numPr>
        <w:jc w:val="both"/>
        <w:rPr>
          <w:rFonts w:eastAsiaTheme="minorEastAsia"/>
          <w:sz w:val="24"/>
          <w:szCs w:val="24"/>
        </w:rPr>
      </w:pPr>
      <w:r w:rsidRPr="00A021AD">
        <w:rPr>
          <w:rFonts w:eastAsiaTheme="minorEastAsia"/>
          <w:sz w:val="24"/>
          <w:szCs w:val="24"/>
        </w:rPr>
        <w:t>Interested bidders may submit their bids with block numbers they intend to buy with offered per ton price on Ex-Quarry/Ex Warehouse Basis. In case of irregular blocks lump sum per ton price may be quoted with tonnage.</w:t>
      </w:r>
    </w:p>
    <w:p w:rsidR="008D1D87" w:rsidRPr="00A021AD" w:rsidRDefault="008D1D87" w:rsidP="008D1D87">
      <w:pPr>
        <w:pStyle w:val="ListParagraph"/>
        <w:numPr>
          <w:ilvl w:val="0"/>
          <w:numId w:val="1"/>
        </w:numPr>
        <w:jc w:val="both"/>
        <w:rPr>
          <w:rFonts w:eastAsiaTheme="minorEastAsia"/>
          <w:sz w:val="24"/>
          <w:szCs w:val="24"/>
        </w:rPr>
      </w:pPr>
      <w:r w:rsidRPr="00A021AD">
        <w:rPr>
          <w:rFonts w:eastAsiaTheme="minorEastAsia"/>
          <w:sz w:val="24"/>
          <w:szCs w:val="24"/>
        </w:rPr>
        <w:t>Preference will be given to bulk buyers (interested buyers may quote per ton price for whole stock of square/irregular blocks available at quarry/warehouse.</w:t>
      </w:r>
    </w:p>
    <w:p w:rsidR="008D1D87" w:rsidRPr="00A021AD" w:rsidRDefault="008D1D87" w:rsidP="008D1D87">
      <w:pPr>
        <w:pStyle w:val="ListParagraph"/>
        <w:numPr>
          <w:ilvl w:val="0"/>
          <w:numId w:val="1"/>
        </w:numPr>
        <w:jc w:val="both"/>
        <w:rPr>
          <w:rFonts w:eastAsiaTheme="minorEastAsia"/>
          <w:sz w:val="24"/>
          <w:szCs w:val="24"/>
        </w:rPr>
      </w:pPr>
      <w:r w:rsidRPr="00A021AD">
        <w:rPr>
          <w:rFonts w:eastAsiaTheme="minorEastAsia"/>
          <w:sz w:val="24"/>
          <w:szCs w:val="24"/>
        </w:rPr>
        <w:t>Project Lease holder is also eligible to participate in the bidding.</w:t>
      </w:r>
    </w:p>
    <w:p w:rsidR="008D1D87" w:rsidRPr="00A021AD" w:rsidRDefault="008D1D87" w:rsidP="008D1D87">
      <w:pPr>
        <w:pStyle w:val="ListParagraph"/>
        <w:numPr>
          <w:ilvl w:val="0"/>
          <w:numId w:val="1"/>
        </w:numPr>
        <w:jc w:val="both"/>
        <w:rPr>
          <w:rFonts w:eastAsiaTheme="minorEastAsia"/>
          <w:sz w:val="24"/>
          <w:szCs w:val="24"/>
        </w:rPr>
      </w:pPr>
      <w:r w:rsidRPr="00A021AD">
        <w:rPr>
          <w:rFonts w:eastAsiaTheme="minorEastAsia"/>
          <w:sz w:val="24"/>
          <w:szCs w:val="24"/>
        </w:rPr>
        <w:t>Bidders should submit sealed bid with 5% earnest money in shape of B</w:t>
      </w:r>
      <w:r>
        <w:rPr>
          <w:rFonts w:eastAsiaTheme="minorEastAsia"/>
          <w:sz w:val="24"/>
          <w:szCs w:val="24"/>
        </w:rPr>
        <w:t>ank Draft / Pay Order or Cross</w:t>
      </w:r>
      <w:r w:rsidRPr="00A021AD">
        <w:rPr>
          <w:rFonts w:eastAsiaTheme="minorEastAsia"/>
          <w:sz w:val="24"/>
          <w:szCs w:val="24"/>
        </w:rPr>
        <w:t xml:space="preserve"> </w:t>
      </w:r>
      <w:proofErr w:type="spellStart"/>
      <w:r w:rsidRPr="00A021AD">
        <w:rPr>
          <w:rFonts w:eastAsiaTheme="minorEastAsia"/>
          <w:sz w:val="24"/>
          <w:szCs w:val="24"/>
        </w:rPr>
        <w:t>Cheque</w:t>
      </w:r>
      <w:proofErr w:type="spellEnd"/>
      <w:r w:rsidRPr="00A021AD">
        <w:rPr>
          <w:rFonts w:eastAsiaTheme="minorEastAsia"/>
          <w:sz w:val="24"/>
          <w:szCs w:val="24"/>
        </w:rPr>
        <w:t xml:space="preserve"> in favor of </w:t>
      </w:r>
      <w:r w:rsidRPr="001C69F3">
        <w:rPr>
          <w:rFonts w:eastAsiaTheme="minorEastAsia"/>
          <w:b/>
          <w:sz w:val="24"/>
          <w:szCs w:val="24"/>
        </w:rPr>
        <w:t>“Pakistan Stone Development Compan</w:t>
      </w:r>
      <w:r w:rsidRPr="00A021AD">
        <w:rPr>
          <w:rFonts w:eastAsiaTheme="minorEastAsia"/>
          <w:sz w:val="24"/>
          <w:szCs w:val="24"/>
        </w:rPr>
        <w:t>y”. Earnest money of unsuccessful bidders will be returned and for successful bidders earnest money will be adjusted against the purchase.</w:t>
      </w:r>
    </w:p>
    <w:p w:rsidR="00280C8C" w:rsidRDefault="008D1D87" w:rsidP="00280C8C">
      <w:pPr>
        <w:pStyle w:val="ListParagraph"/>
        <w:numPr>
          <w:ilvl w:val="0"/>
          <w:numId w:val="1"/>
        </w:numPr>
        <w:jc w:val="both"/>
        <w:rPr>
          <w:rFonts w:eastAsiaTheme="minorEastAsia"/>
          <w:sz w:val="24"/>
          <w:szCs w:val="24"/>
        </w:rPr>
      </w:pPr>
      <w:r w:rsidRPr="00A021AD">
        <w:rPr>
          <w:rFonts w:eastAsiaTheme="minorEastAsia"/>
          <w:sz w:val="24"/>
          <w:szCs w:val="24"/>
        </w:rPr>
        <w:t xml:space="preserve">Successful bidder has to submit 10% down payment </w:t>
      </w:r>
      <w:r w:rsidR="00FF20A1" w:rsidRPr="00A021AD">
        <w:rPr>
          <w:rFonts w:eastAsiaTheme="minorEastAsia"/>
          <w:sz w:val="24"/>
          <w:szCs w:val="24"/>
        </w:rPr>
        <w:t>withi</w:t>
      </w:r>
      <w:r w:rsidR="00FF20A1">
        <w:rPr>
          <w:rFonts w:eastAsiaTheme="minorEastAsia"/>
          <w:sz w:val="24"/>
          <w:szCs w:val="24"/>
        </w:rPr>
        <w:t xml:space="preserve">n </w:t>
      </w:r>
      <w:r w:rsidRPr="00A021AD">
        <w:rPr>
          <w:rFonts w:eastAsiaTheme="minorEastAsia"/>
          <w:sz w:val="24"/>
          <w:szCs w:val="24"/>
        </w:rPr>
        <w:t>three days of notification. Balance payment must be made within 15 days of down payment. Bidders can lift the material after complete payment on the basis of estimated weight. Final adjustment will be made on actual weight basis.</w:t>
      </w:r>
    </w:p>
    <w:p w:rsidR="00280C8C" w:rsidRDefault="00280C8C" w:rsidP="00280C8C">
      <w:pPr>
        <w:pStyle w:val="ListParagraph"/>
        <w:ind w:left="360"/>
        <w:jc w:val="both"/>
        <w:rPr>
          <w:rFonts w:eastAsiaTheme="minorEastAsia"/>
          <w:sz w:val="24"/>
          <w:szCs w:val="24"/>
        </w:rPr>
      </w:pPr>
    </w:p>
    <w:p w:rsidR="00280C8C" w:rsidRPr="00280C8C" w:rsidRDefault="008D1D87" w:rsidP="00280C8C">
      <w:pPr>
        <w:pStyle w:val="ListParagraph"/>
        <w:numPr>
          <w:ilvl w:val="0"/>
          <w:numId w:val="1"/>
        </w:numPr>
        <w:jc w:val="both"/>
        <w:rPr>
          <w:rFonts w:eastAsiaTheme="minorEastAsia"/>
          <w:sz w:val="24"/>
          <w:szCs w:val="24"/>
        </w:rPr>
      </w:pPr>
      <w:r w:rsidRPr="00280C8C">
        <w:rPr>
          <w:rFonts w:eastAsiaTheme="minorEastAsia"/>
          <w:sz w:val="24"/>
          <w:szCs w:val="24"/>
        </w:rPr>
        <w:t>PASDEC can reject any or all bids</w:t>
      </w:r>
      <w:r w:rsidR="00280C8C" w:rsidRPr="00280C8C">
        <w:rPr>
          <w:rFonts w:eastAsiaTheme="minorEastAsia"/>
          <w:sz w:val="24"/>
          <w:szCs w:val="24"/>
        </w:rPr>
        <w:t xml:space="preserve"> with or without assigning any reason </w:t>
      </w:r>
      <w:r w:rsidR="00280C8C">
        <w:t>and also may add or delete any clause to the general terms of reference (TORs) before the arrangement is finalized with the interested party / bidder</w:t>
      </w:r>
    </w:p>
    <w:p w:rsidR="008D1D87" w:rsidRDefault="008D1D87" w:rsidP="00280C8C">
      <w:pPr>
        <w:pStyle w:val="ListParagraph"/>
        <w:ind w:left="360"/>
        <w:jc w:val="both"/>
        <w:rPr>
          <w:rFonts w:eastAsiaTheme="minorEastAsia"/>
          <w:sz w:val="24"/>
          <w:szCs w:val="24"/>
        </w:rPr>
      </w:pPr>
    </w:p>
    <w:p w:rsidR="00FF20A1" w:rsidRDefault="00FF20A1" w:rsidP="008D1D87">
      <w:pPr>
        <w:pStyle w:val="ListParagraph"/>
        <w:numPr>
          <w:ilvl w:val="0"/>
          <w:numId w:val="1"/>
        </w:numPr>
        <w:jc w:val="both"/>
        <w:rPr>
          <w:rFonts w:eastAsiaTheme="minorEastAsia"/>
          <w:sz w:val="24"/>
          <w:szCs w:val="24"/>
        </w:rPr>
      </w:pPr>
      <w:r>
        <w:rPr>
          <w:rFonts w:eastAsiaTheme="minorEastAsia"/>
          <w:sz w:val="24"/>
          <w:szCs w:val="24"/>
        </w:rPr>
        <w:t xml:space="preserve"> Square blocks of following </w:t>
      </w:r>
      <w:r w:rsidR="00434550">
        <w:rPr>
          <w:rFonts w:eastAsiaTheme="minorEastAsia"/>
          <w:sz w:val="24"/>
          <w:szCs w:val="24"/>
        </w:rPr>
        <w:t>materials</w:t>
      </w:r>
      <w:r>
        <w:rPr>
          <w:rFonts w:eastAsiaTheme="minorEastAsia"/>
          <w:sz w:val="24"/>
          <w:szCs w:val="24"/>
        </w:rPr>
        <w:t xml:space="preserve"> are available at quarry site and warehouse</w:t>
      </w:r>
    </w:p>
    <w:tbl>
      <w:tblPr>
        <w:tblW w:w="99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170"/>
        <w:gridCol w:w="1350"/>
        <w:gridCol w:w="1350"/>
        <w:gridCol w:w="1461"/>
        <w:gridCol w:w="2015"/>
        <w:gridCol w:w="1980"/>
      </w:tblGrid>
      <w:tr w:rsidR="00FF20A1" w:rsidRPr="00FB7533" w:rsidTr="008A6185">
        <w:trPr>
          <w:trHeight w:val="228"/>
        </w:trPr>
        <w:tc>
          <w:tcPr>
            <w:tcW w:w="630" w:type="dxa"/>
          </w:tcPr>
          <w:p w:rsidR="00FF20A1" w:rsidRPr="00FB7533" w:rsidRDefault="00FF20A1" w:rsidP="008A6185">
            <w:pPr>
              <w:spacing w:after="0" w:line="240" w:lineRule="auto"/>
              <w:jc w:val="both"/>
              <w:rPr>
                <w:b/>
              </w:rPr>
            </w:pPr>
            <w:proofErr w:type="spellStart"/>
            <w:r w:rsidRPr="00FB7533">
              <w:rPr>
                <w:b/>
              </w:rPr>
              <w:t>Sr</w:t>
            </w:r>
            <w:proofErr w:type="spellEnd"/>
            <w:r w:rsidRPr="00FB7533">
              <w:rPr>
                <w:b/>
              </w:rPr>
              <w:t xml:space="preserve"># </w:t>
            </w:r>
          </w:p>
        </w:tc>
        <w:tc>
          <w:tcPr>
            <w:tcW w:w="1170" w:type="dxa"/>
          </w:tcPr>
          <w:p w:rsidR="00FF20A1" w:rsidRPr="00FB7533" w:rsidRDefault="00FF20A1" w:rsidP="008A6185">
            <w:pPr>
              <w:spacing w:after="0" w:line="240" w:lineRule="auto"/>
              <w:jc w:val="both"/>
              <w:rPr>
                <w:b/>
              </w:rPr>
            </w:pPr>
            <w:r w:rsidRPr="00FB7533">
              <w:rPr>
                <w:b/>
              </w:rPr>
              <w:t>Location</w:t>
            </w:r>
          </w:p>
        </w:tc>
        <w:tc>
          <w:tcPr>
            <w:tcW w:w="1350" w:type="dxa"/>
          </w:tcPr>
          <w:p w:rsidR="00FF20A1" w:rsidRPr="00FB7533" w:rsidRDefault="00FF20A1" w:rsidP="008A6185">
            <w:pPr>
              <w:spacing w:after="0" w:line="240" w:lineRule="auto"/>
              <w:jc w:val="both"/>
              <w:rPr>
                <w:b/>
              </w:rPr>
            </w:pPr>
            <w:r w:rsidRPr="00FB7533">
              <w:rPr>
                <w:b/>
              </w:rPr>
              <w:t>Province</w:t>
            </w:r>
          </w:p>
        </w:tc>
        <w:tc>
          <w:tcPr>
            <w:tcW w:w="1350" w:type="dxa"/>
          </w:tcPr>
          <w:p w:rsidR="00FF20A1" w:rsidRPr="00FB7533" w:rsidRDefault="00FF20A1" w:rsidP="008A6185">
            <w:pPr>
              <w:spacing w:after="0" w:line="240" w:lineRule="auto"/>
              <w:jc w:val="both"/>
              <w:rPr>
                <w:b/>
              </w:rPr>
            </w:pPr>
            <w:r w:rsidRPr="00FB7533">
              <w:rPr>
                <w:b/>
              </w:rPr>
              <w:t>Stone</w:t>
            </w:r>
          </w:p>
        </w:tc>
        <w:tc>
          <w:tcPr>
            <w:tcW w:w="1461" w:type="dxa"/>
          </w:tcPr>
          <w:p w:rsidR="00FF20A1" w:rsidRPr="00FB7533" w:rsidRDefault="00FF20A1" w:rsidP="008A6185">
            <w:pPr>
              <w:spacing w:after="0" w:line="240" w:lineRule="auto"/>
              <w:jc w:val="both"/>
              <w:rPr>
                <w:b/>
              </w:rPr>
            </w:pPr>
            <w:r w:rsidRPr="00FB7533">
              <w:rPr>
                <w:b/>
              </w:rPr>
              <w:t>Color</w:t>
            </w:r>
          </w:p>
        </w:tc>
        <w:tc>
          <w:tcPr>
            <w:tcW w:w="2015" w:type="dxa"/>
          </w:tcPr>
          <w:p w:rsidR="00FF20A1" w:rsidRPr="00FB7533" w:rsidRDefault="00FF20A1" w:rsidP="008A6185">
            <w:pPr>
              <w:spacing w:after="0" w:line="240" w:lineRule="auto"/>
              <w:jc w:val="both"/>
              <w:rPr>
                <w:b/>
              </w:rPr>
            </w:pPr>
            <w:r w:rsidRPr="00FB7533">
              <w:rPr>
                <w:b/>
              </w:rPr>
              <w:t>Contact person</w:t>
            </w:r>
          </w:p>
        </w:tc>
        <w:tc>
          <w:tcPr>
            <w:tcW w:w="1980" w:type="dxa"/>
          </w:tcPr>
          <w:p w:rsidR="00FF20A1" w:rsidRPr="00FB7533" w:rsidRDefault="00FF20A1" w:rsidP="008A6185">
            <w:pPr>
              <w:spacing w:after="0" w:line="240" w:lineRule="auto"/>
              <w:jc w:val="both"/>
              <w:rPr>
                <w:b/>
              </w:rPr>
            </w:pPr>
            <w:r w:rsidRPr="00FB7533">
              <w:rPr>
                <w:b/>
              </w:rPr>
              <w:t xml:space="preserve"> Contact Number</w:t>
            </w:r>
          </w:p>
        </w:tc>
      </w:tr>
      <w:tr w:rsidR="00FF20A1" w:rsidRPr="00FB7533" w:rsidTr="008A6185">
        <w:trPr>
          <w:trHeight w:val="217"/>
        </w:trPr>
        <w:tc>
          <w:tcPr>
            <w:tcW w:w="630" w:type="dxa"/>
          </w:tcPr>
          <w:p w:rsidR="00FF20A1" w:rsidRPr="00FB7533" w:rsidRDefault="00FF20A1" w:rsidP="008A6185">
            <w:pPr>
              <w:spacing w:after="0" w:line="240" w:lineRule="auto"/>
              <w:jc w:val="both"/>
            </w:pPr>
            <w:r w:rsidRPr="00FB7533">
              <w:t>1</w:t>
            </w:r>
          </w:p>
        </w:tc>
        <w:tc>
          <w:tcPr>
            <w:tcW w:w="1170" w:type="dxa"/>
          </w:tcPr>
          <w:p w:rsidR="00FF20A1" w:rsidRPr="00FB7533" w:rsidRDefault="00FF20A1" w:rsidP="008A6185">
            <w:pPr>
              <w:spacing w:after="0" w:line="240" w:lineRule="auto"/>
              <w:jc w:val="both"/>
            </w:pPr>
            <w:r w:rsidRPr="00FB7533">
              <w:t>Khuzdar</w:t>
            </w:r>
            <w:r>
              <w:t xml:space="preserve"> </w:t>
            </w:r>
          </w:p>
        </w:tc>
        <w:tc>
          <w:tcPr>
            <w:tcW w:w="1350" w:type="dxa"/>
          </w:tcPr>
          <w:p w:rsidR="00FF20A1" w:rsidRPr="00FB7533" w:rsidRDefault="00FF20A1" w:rsidP="008A6185">
            <w:pPr>
              <w:spacing w:after="0" w:line="240" w:lineRule="auto"/>
              <w:jc w:val="both"/>
            </w:pPr>
            <w:r w:rsidRPr="00FB7533">
              <w:t>Balochistan</w:t>
            </w:r>
          </w:p>
        </w:tc>
        <w:tc>
          <w:tcPr>
            <w:tcW w:w="1350" w:type="dxa"/>
          </w:tcPr>
          <w:p w:rsidR="00FF20A1" w:rsidRPr="00FB7533" w:rsidRDefault="00FF20A1" w:rsidP="008A6185">
            <w:pPr>
              <w:spacing w:after="0" w:line="240" w:lineRule="auto"/>
              <w:jc w:val="both"/>
            </w:pPr>
            <w:r w:rsidRPr="00FB7533">
              <w:t>Limestone</w:t>
            </w:r>
          </w:p>
        </w:tc>
        <w:tc>
          <w:tcPr>
            <w:tcW w:w="1461" w:type="dxa"/>
          </w:tcPr>
          <w:p w:rsidR="00FF20A1" w:rsidRPr="00FB7533" w:rsidRDefault="00FF20A1" w:rsidP="008A6185">
            <w:pPr>
              <w:spacing w:after="0" w:line="240" w:lineRule="auto"/>
              <w:jc w:val="both"/>
            </w:pPr>
            <w:r w:rsidRPr="00FB7533">
              <w:t>Beige</w:t>
            </w:r>
          </w:p>
        </w:tc>
        <w:tc>
          <w:tcPr>
            <w:tcW w:w="2015" w:type="dxa"/>
          </w:tcPr>
          <w:p w:rsidR="00FF20A1" w:rsidRPr="00FB7533" w:rsidRDefault="00FF20A1" w:rsidP="008A6185">
            <w:pPr>
              <w:spacing w:after="0" w:line="240" w:lineRule="auto"/>
              <w:jc w:val="both"/>
            </w:pPr>
            <w:r w:rsidRPr="00FB7533">
              <w:t xml:space="preserve">Mr. </w:t>
            </w:r>
            <w:proofErr w:type="spellStart"/>
            <w:r w:rsidRPr="00FB7533">
              <w:t>Naveed</w:t>
            </w:r>
            <w:proofErr w:type="spellEnd"/>
            <w:r w:rsidRPr="00FB7533">
              <w:t xml:space="preserve"> </w:t>
            </w:r>
            <w:proofErr w:type="spellStart"/>
            <w:r w:rsidRPr="00FB7533">
              <w:t>Akram</w:t>
            </w:r>
            <w:proofErr w:type="spellEnd"/>
            <w:r w:rsidRPr="00FB7533">
              <w:t xml:space="preserve"> </w:t>
            </w:r>
          </w:p>
        </w:tc>
        <w:tc>
          <w:tcPr>
            <w:tcW w:w="1980" w:type="dxa"/>
          </w:tcPr>
          <w:p w:rsidR="00FF20A1" w:rsidRPr="00FB7533" w:rsidRDefault="00FF20A1" w:rsidP="008A6185">
            <w:pPr>
              <w:spacing w:after="0" w:line="240" w:lineRule="auto"/>
              <w:jc w:val="both"/>
            </w:pPr>
            <w:r w:rsidRPr="00FB7533">
              <w:t>0333-5475321</w:t>
            </w:r>
          </w:p>
        </w:tc>
      </w:tr>
      <w:tr w:rsidR="00FF20A1" w:rsidRPr="00FB7533" w:rsidTr="008A6185">
        <w:trPr>
          <w:trHeight w:val="228"/>
        </w:trPr>
        <w:tc>
          <w:tcPr>
            <w:tcW w:w="630" w:type="dxa"/>
          </w:tcPr>
          <w:p w:rsidR="00FF20A1" w:rsidRPr="00FB7533" w:rsidRDefault="00FF20A1" w:rsidP="008A6185">
            <w:pPr>
              <w:spacing w:after="0" w:line="240" w:lineRule="auto"/>
              <w:jc w:val="both"/>
            </w:pPr>
            <w:r w:rsidRPr="00FB7533">
              <w:t>2</w:t>
            </w:r>
          </w:p>
        </w:tc>
        <w:tc>
          <w:tcPr>
            <w:tcW w:w="1170" w:type="dxa"/>
          </w:tcPr>
          <w:p w:rsidR="00FF20A1" w:rsidRPr="00FB7533" w:rsidRDefault="00FF20A1" w:rsidP="008A6185">
            <w:pPr>
              <w:spacing w:after="0" w:line="240" w:lineRule="auto"/>
              <w:jc w:val="both"/>
            </w:pPr>
            <w:r w:rsidRPr="00FB7533">
              <w:t xml:space="preserve">Mustung </w:t>
            </w:r>
          </w:p>
        </w:tc>
        <w:tc>
          <w:tcPr>
            <w:tcW w:w="1350" w:type="dxa"/>
          </w:tcPr>
          <w:p w:rsidR="00FF20A1" w:rsidRPr="00FB7533" w:rsidRDefault="00FF20A1" w:rsidP="008A6185">
            <w:pPr>
              <w:spacing w:after="0" w:line="240" w:lineRule="auto"/>
              <w:jc w:val="both"/>
            </w:pPr>
            <w:r w:rsidRPr="00FB7533">
              <w:t>Balochistan</w:t>
            </w:r>
          </w:p>
        </w:tc>
        <w:tc>
          <w:tcPr>
            <w:tcW w:w="1350" w:type="dxa"/>
          </w:tcPr>
          <w:p w:rsidR="00FF20A1" w:rsidRPr="00FB7533" w:rsidRDefault="00FF20A1" w:rsidP="008A6185">
            <w:pPr>
              <w:spacing w:after="0" w:line="240" w:lineRule="auto"/>
              <w:jc w:val="both"/>
            </w:pPr>
            <w:r w:rsidRPr="00FB7533">
              <w:t>Limestone</w:t>
            </w:r>
          </w:p>
        </w:tc>
        <w:tc>
          <w:tcPr>
            <w:tcW w:w="1461" w:type="dxa"/>
          </w:tcPr>
          <w:p w:rsidR="00FF20A1" w:rsidRPr="00FB7533" w:rsidRDefault="00FF20A1" w:rsidP="008A6185">
            <w:pPr>
              <w:spacing w:after="0" w:line="240" w:lineRule="auto"/>
              <w:jc w:val="both"/>
            </w:pPr>
            <w:r w:rsidRPr="00FB7533">
              <w:t>Beige Light</w:t>
            </w:r>
          </w:p>
        </w:tc>
        <w:tc>
          <w:tcPr>
            <w:tcW w:w="2015" w:type="dxa"/>
          </w:tcPr>
          <w:p w:rsidR="00FF20A1" w:rsidRPr="00FB7533" w:rsidRDefault="00FF20A1" w:rsidP="008A6185">
            <w:pPr>
              <w:spacing w:after="0" w:line="240" w:lineRule="auto"/>
            </w:pPr>
            <w:r w:rsidRPr="00FB7533">
              <w:t xml:space="preserve">Mr. </w:t>
            </w:r>
            <w:proofErr w:type="spellStart"/>
            <w:r w:rsidRPr="00FB7533">
              <w:t>Naveed</w:t>
            </w:r>
            <w:proofErr w:type="spellEnd"/>
            <w:r w:rsidRPr="00FB7533">
              <w:t xml:space="preserve"> </w:t>
            </w:r>
            <w:proofErr w:type="spellStart"/>
            <w:r w:rsidRPr="00FB7533">
              <w:t>Akram</w:t>
            </w:r>
            <w:proofErr w:type="spellEnd"/>
          </w:p>
        </w:tc>
        <w:tc>
          <w:tcPr>
            <w:tcW w:w="1980" w:type="dxa"/>
          </w:tcPr>
          <w:p w:rsidR="00FF20A1" w:rsidRPr="00FB7533" w:rsidRDefault="00FF20A1" w:rsidP="008A6185">
            <w:pPr>
              <w:spacing w:after="0" w:line="240" w:lineRule="auto"/>
              <w:jc w:val="both"/>
            </w:pPr>
            <w:r w:rsidRPr="00FB7533">
              <w:t>0333-5475321</w:t>
            </w:r>
          </w:p>
        </w:tc>
      </w:tr>
      <w:tr w:rsidR="00FF20A1" w:rsidRPr="00FB7533" w:rsidTr="008A6185">
        <w:trPr>
          <w:trHeight w:val="228"/>
        </w:trPr>
        <w:tc>
          <w:tcPr>
            <w:tcW w:w="630" w:type="dxa"/>
          </w:tcPr>
          <w:p w:rsidR="00FF20A1" w:rsidRPr="00FB7533" w:rsidRDefault="00FF20A1" w:rsidP="008A6185">
            <w:pPr>
              <w:spacing w:after="0" w:line="240" w:lineRule="auto"/>
              <w:jc w:val="both"/>
            </w:pPr>
            <w:r w:rsidRPr="00FB7533">
              <w:t>3</w:t>
            </w:r>
          </w:p>
        </w:tc>
        <w:tc>
          <w:tcPr>
            <w:tcW w:w="1170" w:type="dxa"/>
          </w:tcPr>
          <w:p w:rsidR="00FF20A1" w:rsidRPr="00FB7533" w:rsidRDefault="00FF20A1" w:rsidP="008A6185">
            <w:pPr>
              <w:spacing w:after="0" w:line="240" w:lineRule="auto"/>
              <w:jc w:val="both"/>
            </w:pPr>
            <w:r w:rsidRPr="00FB7533">
              <w:t xml:space="preserve">Buner </w:t>
            </w:r>
          </w:p>
        </w:tc>
        <w:tc>
          <w:tcPr>
            <w:tcW w:w="1350" w:type="dxa"/>
          </w:tcPr>
          <w:p w:rsidR="00FF20A1" w:rsidRPr="00FB7533" w:rsidRDefault="00FF20A1" w:rsidP="008A6185">
            <w:pPr>
              <w:spacing w:after="0" w:line="240" w:lineRule="auto"/>
              <w:jc w:val="both"/>
            </w:pPr>
            <w:r w:rsidRPr="00FB7533">
              <w:t>KPK</w:t>
            </w:r>
          </w:p>
        </w:tc>
        <w:tc>
          <w:tcPr>
            <w:tcW w:w="1350" w:type="dxa"/>
          </w:tcPr>
          <w:p w:rsidR="00FF20A1" w:rsidRPr="00FB7533" w:rsidRDefault="00FF20A1" w:rsidP="008A6185">
            <w:pPr>
              <w:spacing w:after="0" w:line="240" w:lineRule="auto"/>
              <w:jc w:val="both"/>
            </w:pPr>
            <w:r w:rsidRPr="00FB7533">
              <w:t>Marble</w:t>
            </w:r>
          </w:p>
        </w:tc>
        <w:tc>
          <w:tcPr>
            <w:tcW w:w="1461" w:type="dxa"/>
          </w:tcPr>
          <w:p w:rsidR="00FF20A1" w:rsidRPr="00FB7533" w:rsidRDefault="00FF20A1" w:rsidP="008A6185">
            <w:pPr>
              <w:spacing w:after="0" w:line="240" w:lineRule="auto"/>
              <w:jc w:val="both"/>
            </w:pPr>
            <w:r w:rsidRPr="00FB7533">
              <w:t xml:space="preserve">Grey </w:t>
            </w:r>
          </w:p>
        </w:tc>
        <w:tc>
          <w:tcPr>
            <w:tcW w:w="2015" w:type="dxa"/>
          </w:tcPr>
          <w:p w:rsidR="00FF20A1" w:rsidRPr="00FB7533" w:rsidRDefault="00FF20A1" w:rsidP="008A6185">
            <w:pPr>
              <w:spacing w:after="0" w:line="240" w:lineRule="auto"/>
              <w:jc w:val="both"/>
            </w:pPr>
            <w:r w:rsidRPr="00FB7533">
              <w:t xml:space="preserve">Mr. </w:t>
            </w:r>
            <w:proofErr w:type="spellStart"/>
            <w:r w:rsidRPr="00FB7533">
              <w:t>Parwar</w:t>
            </w:r>
            <w:proofErr w:type="spellEnd"/>
            <w:r w:rsidRPr="00FB7533">
              <w:t xml:space="preserve"> Said</w:t>
            </w:r>
          </w:p>
        </w:tc>
        <w:tc>
          <w:tcPr>
            <w:tcW w:w="1980" w:type="dxa"/>
          </w:tcPr>
          <w:p w:rsidR="00FF20A1" w:rsidRPr="00FB7533" w:rsidRDefault="00FF20A1" w:rsidP="008A6185">
            <w:pPr>
              <w:spacing w:after="0" w:line="240" w:lineRule="auto"/>
              <w:jc w:val="both"/>
            </w:pPr>
            <w:r w:rsidRPr="00FB7533">
              <w:t>0342-9615023</w:t>
            </w:r>
          </w:p>
        </w:tc>
      </w:tr>
      <w:tr w:rsidR="00FF20A1" w:rsidRPr="00FB7533" w:rsidTr="008A6185">
        <w:trPr>
          <w:trHeight w:val="239"/>
        </w:trPr>
        <w:tc>
          <w:tcPr>
            <w:tcW w:w="630" w:type="dxa"/>
          </w:tcPr>
          <w:p w:rsidR="00FF20A1" w:rsidRPr="00FB7533" w:rsidRDefault="00FF20A1" w:rsidP="008A6185">
            <w:pPr>
              <w:spacing w:after="0" w:line="240" w:lineRule="auto"/>
              <w:jc w:val="both"/>
            </w:pPr>
            <w:r w:rsidRPr="00FB7533">
              <w:t>4</w:t>
            </w:r>
          </w:p>
        </w:tc>
        <w:tc>
          <w:tcPr>
            <w:tcW w:w="1170" w:type="dxa"/>
          </w:tcPr>
          <w:p w:rsidR="00FF20A1" w:rsidRPr="00FB7533" w:rsidRDefault="00FF20A1" w:rsidP="008A6185">
            <w:pPr>
              <w:spacing w:after="0" w:line="240" w:lineRule="auto"/>
              <w:jc w:val="both"/>
            </w:pPr>
            <w:r w:rsidRPr="00FB7533">
              <w:t>Mohmand</w:t>
            </w:r>
          </w:p>
        </w:tc>
        <w:tc>
          <w:tcPr>
            <w:tcW w:w="1350" w:type="dxa"/>
          </w:tcPr>
          <w:p w:rsidR="00FF20A1" w:rsidRPr="00FB7533" w:rsidRDefault="00FF20A1" w:rsidP="008A6185">
            <w:pPr>
              <w:spacing w:after="0" w:line="240" w:lineRule="auto"/>
              <w:jc w:val="both"/>
            </w:pPr>
            <w:r w:rsidRPr="00FB7533">
              <w:t>KPK</w:t>
            </w:r>
          </w:p>
        </w:tc>
        <w:tc>
          <w:tcPr>
            <w:tcW w:w="1350" w:type="dxa"/>
          </w:tcPr>
          <w:p w:rsidR="00FF20A1" w:rsidRPr="00FB7533" w:rsidRDefault="00FF20A1" w:rsidP="008A6185">
            <w:pPr>
              <w:spacing w:after="0" w:line="240" w:lineRule="auto"/>
              <w:jc w:val="both"/>
            </w:pPr>
            <w:r w:rsidRPr="00FB7533">
              <w:t>Marble</w:t>
            </w:r>
          </w:p>
        </w:tc>
        <w:tc>
          <w:tcPr>
            <w:tcW w:w="1461" w:type="dxa"/>
          </w:tcPr>
          <w:p w:rsidR="00FF20A1" w:rsidRPr="00FB7533" w:rsidRDefault="00FF20A1" w:rsidP="008A6185">
            <w:pPr>
              <w:spacing w:after="0" w:line="240" w:lineRule="auto"/>
              <w:jc w:val="both"/>
            </w:pPr>
            <w:r w:rsidRPr="00FB7533">
              <w:t>White green</w:t>
            </w:r>
            <w:r>
              <w:t>, white grey</w:t>
            </w:r>
          </w:p>
        </w:tc>
        <w:tc>
          <w:tcPr>
            <w:tcW w:w="2015" w:type="dxa"/>
          </w:tcPr>
          <w:p w:rsidR="00FF20A1" w:rsidRPr="00FB7533" w:rsidDel="005820D8" w:rsidRDefault="00FF20A1" w:rsidP="008A6185">
            <w:pPr>
              <w:spacing w:after="0" w:line="240" w:lineRule="auto"/>
              <w:jc w:val="both"/>
            </w:pPr>
            <w:r w:rsidRPr="00FB7533">
              <w:t xml:space="preserve">Mr. </w:t>
            </w:r>
            <w:proofErr w:type="spellStart"/>
            <w:r w:rsidRPr="00FB7533">
              <w:t>Parwar</w:t>
            </w:r>
            <w:proofErr w:type="spellEnd"/>
            <w:r w:rsidRPr="00FB7533">
              <w:t xml:space="preserve"> Said</w:t>
            </w:r>
          </w:p>
        </w:tc>
        <w:tc>
          <w:tcPr>
            <w:tcW w:w="1980" w:type="dxa"/>
          </w:tcPr>
          <w:p w:rsidR="00FF20A1" w:rsidRPr="00FB7533" w:rsidRDefault="00FF20A1" w:rsidP="008A6185">
            <w:pPr>
              <w:spacing w:after="0" w:line="240" w:lineRule="auto"/>
              <w:jc w:val="both"/>
            </w:pPr>
            <w:r w:rsidRPr="00FB7533">
              <w:t>0342-9615023</w:t>
            </w:r>
          </w:p>
        </w:tc>
      </w:tr>
    </w:tbl>
    <w:p w:rsidR="00FF20A1" w:rsidRPr="00FF20A1" w:rsidRDefault="00FF20A1" w:rsidP="00FF20A1">
      <w:pPr>
        <w:jc w:val="both"/>
        <w:rPr>
          <w:sz w:val="24"/>
          <w:szCs w:val="24"/>
        </w:rPr>
      </w:pPr>
    </w:p>
    <w:p w:rsidR="00862B7C" w:rsidRDefault="00862B7C"/>
    <w:sectPr w:rsidR="00862B7C" w:rsidSect="00E54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E3C1A"/>
    <w:multiLevelType w:val="hybridMultilevel"/>
    <w:tmpl w:val="13608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CB30EE"/>
    <w:multiLevelType w:val="hybridMultilevel"/>
    <w:tmpl w:val="99DA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3404F"/>
    <w:multiLevelType w:val="hybridMultilevel"/>
    <w:tmpl w:val="B382F168"/>
    <w:lvl w:ilvl="0" w:tplc="25B278A4">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8D1D87"/>
    <w:rsid w:val="001F5611"/>
    <w:rsid w:val="00280C8C"/>
    <w:rsid w:val="002D612B"/>
    <w:rsid w:val="00434550"/>
    <w:rsid w:val="00862B7C"/>
    <w:rsid w:val="008D1D87"/>
    <w:rsid w:val="00D96CEC"/>
    <w:rsid w:val="00E5493F"/>
    <w:rsid w:val="00FE36AC"/>
    <w:rsid w:val="00FF2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87"/>
    <w:pPr>
      <w:ind w:left="720"/>
      <w:contextualSpacing/>
    </w:pPr>
    <w:rPr>
      <w:rFonts w:eastAsiaTheme="minorHAnsi"/>
    </w:rPr>
  </w:style>
  <w:style w:type="paragraph" w:styleId="Header">
    <w:name w:val="header"/>
    <w:basedOn w:val="Normal"/>
    <w:link w:val="HeaderChar"/>
    <w:uiPriority w:val="99"/>
    <w:semiHidden/>
    <w:unhideWhenUsed/>
    <w:rsid w:val="008D1D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8D1D87"/>
    <w:rPr>
      <w:rFonts w:eastAsiaTheme="minorHAnsi"/>
    </w:rPr>
  </w:style>
  <w:style w:type="table" w:styleId="TableGrid">
    <w:name w:val="Table Grid"/>
    <w:basedOn w:val="TableNormal"/>
    <w:uiPriority w:val="59"/>
    <w:rsid w:val="00FF20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0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2020-08-20T07:37:00Z</dcterms:created>
  <dcterms:modified xsi:type="dcterms:W3CDTF">2020-09-03T06:06:00Z</dcterms:modified>
</cp:coreProperties>
</file>